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01242">
      <w:pPr>
        <w:spacing w:after="40" w:line="276" w:lineRule="auto"/>
        <w:rPr>
          <w:rFonts w:hint="eastAsia" w:ascii="黑体" w:hAnsi="黑体" w:eastAsia="黑体"/>
          <w:b/>
          <w:sz w:val="26"/>
          <w:szCs w:val="26"/>
          <w:lang w:val="en-US" w:eastAsia="zh-CN"/>
        </w:rPr>
      </w:pPr>
      <w:r>
        <w:rPr>
          <w:rFonts w:hint="eastAsia" w:ascii="黑体" w:hAnsi="黑体" w:eastAsia="黑体"/>
          <w:b/>
          <w:sz w:val="26"/>
          <w:szCs w:val="26"/>
          <w:lang w:val="en-US" w:eastAsia="zh-CN"/>
        </w:rPr>
        <w:t>附表：公共数据库及“随师办”门户应用接入申请表</w:t>
      </w:r>
      <w:bookmarkStart w:id="0" w:name="_GoBack"/>
      <w:bookmarkEnd w:id="0"/>
    </w:p>
    <w:p w14:paraId="473CC1A5">
      <w:pPr>
        <w:spacing w:after="40" w:line="276" w:lineRule="auto"/>
      </w:pPr>
      <w:r>
        <w:rPr>
          <w:rFonts w:hint="eastAsia" w:ascii="黑体" w:hAnsi="黑体" w:eastAsia="黑体"/>
          <w:b/>
          <w:sz w:val="26"/>
          <w:szCs w:val="26"/>
        </w:rPr>
        <w:t>填表说明</w:t>
      </w:r>
    </w:p>
    <w:p w14:paraId="02E06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0" w:line="360" w:lineRule="auto"/>
        <w:jc w:val="both"/>
        <w:textAlignment w:val="auto"/>
      </w:pPr>
      <w:r>
        <w:rPr>
          <w:rFonts w:hint="eastAsia" w:ascii="宋体" w:hAnsi="宋体" w:eastAsia="宋体"/>
          <w:sz w:val="22"/>
          <w:szCs w:val="22"/>
        </w:rPr>
        <w:t>1. 带 * 项目为必填项。</w:t>
      </w:r>
    </w:p>
    <w:p w14:paraId="769F2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0" w:line="360" w:lineRule="auto"/>
        <w:jc w:val="both"/>
        <w:textAlignment w:val="auto"/>
      </w:pPr>
      <w:r>
        <w:rPr>
          <w:rFonts w:hint="eastAsia" w:ascii="宋体" w:hAnsi="宋体" w:eastAsia="宋体"/>
          <w:sz w:val="22"/>
          <w:szCs w:val="22"/>
        </w:rPr>
        <w:t xml:space="preserve">2. </w:t>
      </w:r>
      <w:r>
        <w:rPr>
          <w:rFonts w:hint="eastAsia" w:ascii="宋体" w:hAnsi="宋体" w:eastAsia="宋体"/>
          <w:sz w:val="22"/>
          <w:szCs w:val="22"/>
          <w:lang w:val="en-US" w:eastAsia="zh-CN"/>
        </w:rPr>
        <w:t>统一身份认证集成情况：</w:t>
      </w:r>
      <w:r>
        <w:rPr>
          <w:rFonts w:hint="eastAsia" w:ascii="宋体" w:hAnsi="宋体" w:eastAsia="宋体"/>
          <w:sz w:val="22"/>
          <w:szCs w:val="22"/>
        </w:rPr>
        <w:t>需登录后</w:t>
      </w:r>
      <w:r>
        <w:rPr>
          <w:rFonts w:hint="eastAsia" w:ascii="宋体" w:hAnsi="宋体" w:eastAsia="宋体"/>
          <w:sz w:val="22"/>
          <w:szCs w:val="22"/>
          <w:lang w:val="en-US" w:eastAsia="zh-CN"/>
        </w:rPr>
        <w:t>才可</w:t>
      </w:r>
      <w:r>
        <w:rPr>
          <w:rFonts w:hint="eastAsia" w:ascii="宋体" w:hAnsi="宋体" w:eastAsia="宋体"/>
          <w:sz w:val="22"/>
          <w:szCs w:val="22"/>
        </w:rPr>
        <w:t>使用的应用</w:t>
      </w:r>
      <w:r>
        <w:rPr>
          <w:rFonts w:hint="eastAsia" w:ascii="宋体" w:hAnsi="宋体" w:eastAsia="宋体"/>
          <w:sz w:val="22"/>
          <w:szCs w:val="22"/>
          <w:lang w:val="en-US" w:eastAsia="zh-CN"/>
        </w:rPr>
        <w:t>系统，应在申请前完成学校</w:t>
      </w:r>
      <w:r>
        <w:rPr>
          <w:rFonts w:hint="eastAsia" w:ascii="宋体" w:hAnsi="宋体" w:eastAsia="宋体"/>
          <w:sz w:val="22"/>
          <w:szCs w:val="22"/>
        </w:rPr>
        <w:t>统一身份认证集成</w:t>
      </w:r>
      <w:r>
        <w:rPr>
          <w:rFonts w:hint="eastAsia" w:ascii="宋体" w:hAnsi="宋体" w:eastAsia="宋体"/>
          <w:sz w:val="22"/>
          <w:szCs w:val="22"/>
          <w:lang w:eastAsia="zh-CN"/>
        </w:rPr>
        <w:t>；</w:t>
      </w:r>
      <w:r>
        <w:rPr>
          <w:rFonts w:hint="eastAsia" w:ascii="宋体" w:hAnsi="宋体" w:eastAsia="宋体"/>
          <w:sz w:val="22"/>
          <w:szCs w:val="22"/>
          <w:lang w:val="en-US" w:eastAsia="zh-CN"/>
        </w:rPr>
        <w:t>采用其他认证方式会影响用户体验，信息办有权拒绝接入申请</w:t>
      </w:r>
      <w:r>
        <w:rPr>
          <w:rFonts w:hint="eastAsia" w:ascii="宋体" w:hAnsi="宋体" w:eastAsia="宋体"/>
          <w:sz w:val="22"/>
          <w:szCs w:val="22"/>
        </w:rPr>
        <w:t>。</w:t>
      </w:r>
      <w:r>
        <w:rPr>
          <w:rFonts w:hint="eastAsia" w:ascii="宋体" w:hAnsi="宋体" w:eastAsia="宋体"/>
          <w:sz w:val="22"/>
          <w:szCs w:val="22"/>
          <w:lang w:val="en-US" w:eastAsia="zh-CN"/>
        </w:rPr>
        <w:t>无需登录即可访问的公开信息类应用，可选择“无需集成（信息发布类）”。</w:t>
      </w:r>
    </w:p>
    <w:p w14:paraId="42BCA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0" w:line="360" w:lineRule="auto"/>
        <w:jc w:val="both"/>
        <w:textAlignment w:val="auto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/>
          <w:sz w:val="22"/>
          <w:szCs w:val="22"/>
        </w:rPr>
        <w:t>3. 申请单位根据实际需求，在“接入服务”中勾选一项或多项（可多选），未勾选的服务无需填写对应内容。</w:t>
      </w:r>
    </w:p>
    <w:p w14:paraId="2B83E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0" w:line="360" w:lineRule="auto"/>
        <w:jc w:val="both"/>
        <w:textAlignment w:val="auto"/>
        <w:rPr>
          <w:rFonts w:hint="eastAsia" w:ascii="宋体" w:hAnsi="宋体" w:eastAsia="宋体"/>
          <w:sz w:val="22"/>
          <w:szCs w:val="22"/>
          <w:lang w:eastAsia="zh-CN"/>
        </w:rPr>
      </w:pPr>
      <w:r>
        <w:rPr>
          <w:rFonts w:hint="eastAsia" w:ascii="宋体" w:hAnsi="宋体" w:eastAsia="宋体"/>
          <w:sz w:val="22"/>
          <w:szCs w:val="22"/>
        </w:rPr>
        <w:t>4. 提交申请前，请确保应用系统已完成信息资产备案，域名信息</w:t>
      </w:r>
      <w:r>
        <w:rPr>
          <w:rFonts w:hint="eastAsia" w:ascii="宋体" w:hAnsi="宋体" w:eastAsia="宋体"/>
          <w:sz w:val="22"/>
          <w:szCs w:val="22"/>
          <w:lang w:val="en-US" w:eastAsia="zh-CN"/>
        </w:rPr>
        <w:t>保持</w:t>
      </w:r>
      <w:r>
        <w:rPr>
          <w:rFonts w:hint="eastAsia" w:ascii="宋体" w:hAnsi="宋体" w:eastAsia="宋体"/>
          <w:sz w:val="22"/>
          <w:szCs w:val="22"/>
        </w:rPr>
        <w:t>与备案一致</w:t>
      </w:r>
      <w:r>
        <w:rPr>
          <w:rFonts w:hint="eastAsia" w:ascii="宋体" w:hAnsi="宋体" w:eastAsia="宋体"/>
          <w:sz w:val="22"/>
          <w:szCs w:val="22"/>
          <w:lang w:eastAsia="zh-CN"/>
        </w:rPr>
        <w:t>。</w:t>
      </w:r>
    </w:p>
    <w:p w14:paraId="65236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0" w:line="360" w:lineRule="auto"/>
        <w:jc w:val="both"/>
        <w:textAlignment w:val="auto"/>
        <w:rPr>
          <w:rFonts w:hint="eastAsia" w:ascii="宋体" w:hAnsi="宋体" w:eastAsia="宋体"/>
          <w:sz w:val="22"/>
          <w:szCs w:val="22"/>
        </w:rPr>
      </w:pPr>
      <w:r>
        <w:rPr>
          <w:rFonts w:hint="eastAsia" w:ascii="宋体" w:hAnsi="宋体" w:eastAsia="宋体"/>
          <w:sz w:val="22"/>
          <w:szCs w:val="22"/>
          <w:lang w:val="en-US" w:eastAsia="zh-CN"/>
        </w:rPr>
        <w:t xml:space="preserve">5. </w:t>
      </w:r>
      <w:r>
        <w:rPr>
          <w:rFonts w:hint="eastAsia" w:ascii="宋体" w:hAnsi="宋体" w:eastAsia="宋体"/>
          <w:sz w:val="22"/>
          <w:szCs w:val="22"/>
        </w:rPr>
        <w:t>经办人</w:t>
      </w:r>
      <w:r>
        <w:rPr>
          <w:rFonts w:hint="eastAsia" w:ascii="宋体" w:hAnsi="宋体" w:eastAsia="宋体"/>
          <w:sz w:val="22"/>
          <w:szCs w:val="22"/>
          <w:lang w:eastAsia="zh-CN"/>
        </w:rPr>
        <w:t>、</w:t>
      </w:r>
      <w:r>
        <w:rPr>
          <w:rFonts w:hint="eastAsia" w:ascii="宋体" w:hAnsi="宋体" w:eastAsia="宋体"/>
          <w:sz w:val="22"/>
          <w:szCs w:val="22"/>
          <w:lang w:val="en-US" w:eastAsia="zh-CN"/>
        </w:rPr>
        <w:t>业务负责人和技术负责人应</w:t>
      </w:r>
      <w:r>
        <w:rPr>
          <w:rFonts w:hint="eastAsia" w:ascii="宋体" w:hAnsi="宋体" w:eastAsia="宋体"/>
          <w:sz w:val="22"/>
          <w:szCs w:val="22"/>
        </w:rPr>
        <w:t>为校内在职</w:t>
      </w:r>
      <w:r>
        <w:rPr>
          <w:rFonts w:hint="eastAsia" w:ascii="宋体" w:hAnsi="宋体" w:eastAsia="宋体"/>
          <w:sz w:val="22"/>
          <w:szCs w:val="22"/>
          <w:lang w:val="en-US" w:eastAsia="zh-CN"/>
        </w:rPr>
        <w:t>教职工</w:t>
      </w:r>
      <w:r>
        <w:rPr>
          <w:rFonts w:hint="eastAsia" w:ascii="宋体" w:hAnsi="宋体" w:eastAsia="宋体"/>
          <w:sz w:val="22"/>
          <w:szCs w:val="22"/>
        </w:rPr>
        <w:t>，人员更换</w:t>
      </w:r>
      <w:r>
        <w:rPr>
          <w:rFonts w:hint="eastAsia" w:ascii="宋体" w:hAnsi="宋体" w:eastAsia="宋体"/>
          <w:sz w:val="22"/>
          <w:szCs w:val="22"/>
          <w:lang w:val="en-US" w:eastAsia="zh-CN"/>
        </w:rPr>
        <w:t>后</w:t>
      </w:r>
      <w:r>
        <w:rPr>
          <w:rFonts w:hint="eastAsia" w:ascii="宋体" w:hAnsi="宋体" w:eastAsia="宋体"/>
          <w:sz w:val="22"/>
          <w:szCs w:val="22"/>
        </w:rPr>
        <w:t>应及时联系信息化治理办公室完成信息变更。</w:t>
      </w:r>
    </w:p>
    <w:p w14:paraId="4234A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0" w:line="360" w:lineRule="auto"/>
        <w:jc w:val="both"/>
        <w:textAlignment w:val="auto"/>
        <w:rPr>
          <w:rFonts w:hint="eastAsia" w:ascii="宋体" w:hAnsi="宋体" w:eastAsia="宋体"/>
          <w:sz w:val="22"/>
          <w:szCs w:val="22"/>
        </w:rPr>
      </w:pPr>
      <w:r>
        <w:rPr>
          <w:rFonts w:hint="eastAsia" w:ascii="宋体" w:hAnsi="宋体" w:eastAsia="宋体"/>
          <w:sz w:val="22"/>
          <w:szCs w:val="22"/>
          <w:lang w:val="en-US" w:eastAsia="zh-CN"/>
        </w:rPr>
        <w:t>6</w:t>
      </w:r>
      <w:r>
        <w:rPr>
          <w:rFonts w:hint="eastAsia" w:ascii="宋体" w:hAnsi="宋体" w:eastAsia="宋体"/>
          <w:sz w:val="22"/>
          <w:szCs w:val="22"/>
        </w:rPr>
        <w:t xml:space="preserve">. </w:t>
      </w:r>
      <w:r>
        <w:rPr>
          <w:rFonts w:hint="eastAsia" w:ascii="宋体" w:hAnsi="宋体" w:eastAsia="宋体"/>
          <w:sz w:val="22"/>
          <w:szCs w:val="22"/>
          <w:lang w:val="en-US" w:eastAsia="zh-CN"/>
        </w:rPr>
        <w:t>表格</w:t>
      </w:r>
      <w:r>
        <w:rPr>
          <w:rFonts w:hint="eastAsia" w:ascii="宋体" w:hAnsi="宋体" w:eastAsia="宋体"/>
          <w:sz w:val="22"/>
          <w:szCs w:val="22"/>
        </w:rPr>
        <w:t>填写完成后，先发送至 its@ecnu.edu.cn 预审核。</w:t>
      </w:r>
    </w:p>
    <w:p w14:paraId="2C4CD6F2">
      <w:pPr>
        <w:spacing w:after="40" w:line="276" w:lineRule="auto"/>
        <w:rPr>
          <w:rFonts w:hint="eastAsia" w:ascii="宋体" w:hAnsi="宋体" w:eastAsia="宋体"/>
          <w:sz w:val="22"/>
          <w:szCs w:val="22"/>
        </w:rPr>
      </w:pPr>
    </w:p>
    <w:p w14:paraId="15C46CED">
      <w:pPr>
        <w:spacing w:after="40" w:line="276" w:lineRule="auto"/>
      </w:pPr>
      <w:r>
        <w:rPr>
          <w:rFonts w:hint="eastAsia" w:ascii="黑体" w:hAnsi="黑体" w:eastAsia="黑体"/>
          <w:b/>
          <w:sz w:val="26"/>
          <w:szCs w:val="26"/>
        </w:rPr>
        <w:t>申请单位承诺</w:t>
      </w:r>
    </w:p>
    <w:p w14:paraId="1F7C4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0" w:line="360" w:lineRule="auto"/>
        <w:jc w:val="both"/>
        <w:textAlignment w:val="auto"/>
      </w:pPr>
      <w:r>
        <w:rPr>
          <w:rFonts w:hint="eastAsia" w:ascii="宋体" w:hAnsi="宋体" w:eastAsia="宋体"/>
          <w:sz w:val="22"/>
          <w:szCs w:val="22"/>
        </w:rPr>
        <w:t>1. 本表所填信息真实、准确</w:t>
      </w:r>
      <w:r>
        <w:rPr>
          <w:rFonts w:hint="eastAsia" w:ascii="宋体" w:hAnsi="宋体" w:eastAsia="宋体"/>
          <w:sz w:val="22"/>
          <w:szCs w:val="22"/>
          <w:lang w:eastAsia="zh-CN"/>
        </w:rPr>
        <w:t>，</w:t>
      </w:r>
      <w:r>
        <w:rPr>
          <w:rFonts w:hint="eastAsia" w:ascii="宋体" w:hAnsi="宋体" w:eastAsia="宋体"/>
          <w:sz w:val="22"/>
          <w:szCs w:val="22"/>
          <w:lang w:val="en-US" w:eastAsia="zh-CN"/>
        </w:rPr>
        <w:t>申请接入的</w:t>
      </w:r>
      <w:r>
        <w:rPr>
          <w:rFonts w:hint="eastAsia" w:ascii="宋体" w:hAnsi="宋体" w:eastAsia="宋体"/>
          <w:sz w:val="22"/>
          <w:szCs w:val="22"/>
        </w:rPr>
        <w:t>应用系统已完成信息资产备案。</w:t>
      </w:r>
    </w:p>
    <w:p w14:paraId="7F9A9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0" w:line="360" w:lineRule="auto"/>
        <w:jc w:val="both"/>
        <w:textAlignment w:val="auto"/>
      </w:pPr>
      <w:r>
        <w:rPr>
          <w:rFonts w:hint="eastAsia" w:ascii="宋体" w:hAnsi="宋体" w:eastAsia="宋体"/>
          <w:sz w:val="22"/>
          <w:szCs w:val="22"/>
          <w:lang w:val="en-US" w:eastAsia="zh-CN"/>
        </w:rPr>
        <w:t>2</w:t>
      </w:r>
      <w:r>
        <w:rPr>
          <w:rFonts w:hint="eastAsia" w:ascii="宋体" w:hAnsi="宋体" w:eastAsia="宋体"/>
          <w:sz w:val="22"/>
          <w:szCs w:val="22"/>
        </w:rPr>
        <w:t xml:space="preserve">. </w:t>
      </w:r>
      <w:r>
        <w:rPr>
          <w:rFonts w:hint="eastAsia" w:ascii="宋体" w:hAnsi="宋体" w:eastAsia="宋体"/>
          <w:sz w:val="22"/>
          <w:szCs w:val="22"/>
          <w:lang w:val="en-US" w:eastAsia="zh-CN"/>
        </w:rPr>
        <w:t>推送待办信息数据</w:t>
      </w:r>
      <w:r>
        <w:rPr>
          <w:rFonts w:hint="eastAsia" w:ascii="宋体" w:hAnsi="宋体" w:eastAsia="宋体"/>
          <w:sz w:val="22"/>
          <w:szCs w:val="22"/>
        </w:rPr>
        <w:t>严格遵守“谁产生、谁负责”原则，对本单位推送消息的真实性、准确性、合规性负责</w:t>
      </w:r>
      <w:r>
        <w:rPr>
          <w:rFonts w:hint="eastAsia" w:ascii="宋体" w:hAnsi="宋体" w:eastAsia="宋体"/>
          <w:sz w:val="22"/>
          <w:szCs w:val="22"/>
          <w:lang w:eastAsia="zh-CN"/>
        </w:rPr>
        <w:t>，</w:t>
      </w:r>
      <w:r>
        <w:rPr>
          <w:rFonts w:hint="eastAsia" w:ascii="宋体" w:hAnsi="宋体" w:eastAsia="宋体"/>
          <w:sz w:val="22"/>
          <w:szCs w:val="22"/>
        </w:rPr>
        <w:t>推送对象依据实际业务关系精准确定，不对无关或大范围用户发送。</w:t>
      </w:r>
    </w:p>
    <w:p w14:paraId="7C32B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0" w:line="360" w:lineRule="auto"/>
        <w:jc w:val="both"/>
        <w:textAlignment w:val="auto"/>
      </w:pPr>
      <w:r>
        <w:rPr>
          <w:rFonts w:hint="eastAsia" w:ascii="宋体" w:hAnsi="宋体" w:eastAsia="宋体"/>
          <w:sz w:val="22"/>
          <w:szCs w:val="22"/>
          <w:lang w:val="en-US" w:eastAsia="zh-CN"/>
        </w:rPr>
        <w:t>3</w:t>
      </w:r>
      <w:r>
        <w:rPr>
          <w:rFonts w:hint="eastAsia" w:ascii="宋体" w:hAnsi="宋体" w:eastAsia="宋体"/>
          <w:sz w:val="22"/>
          <w:szCs w:val="22"/>
        </w:rPr>
        <w:t>. 主动配合信息化治理办公室开展系统安全核查，如实提供系统应用、接口调用、数据及消息推送等相关情况，并对核查发现的问题按要求及时整改和反馈。</w:t>
      </w:r>
    </w:p>
    <w:p w14:paraId="740FC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0" w:line="360" w:lineRule="auto"/>
        <w:jc w:val="both"/>
        <w:textAlignment w:val="auto"/>
      </w:pPr>
      <w:r>
        <w:rPr>
          <w:rFonts w:hint="eastAsia" w:ascii="宋体" w:hAnsi="宋体" w:eastAsia="宋体"/>
          <w:sz w:val="22"/>
          <w:szCs w:val="22"/>
          <w:lang w:val="en-US" w:eastAsia="zh-CN"/>
        </w:rPr>
        <w:t>4</w:t>
      </w:r>
      <w:r>
        <w:rPr>
          <w:rFonts w:hint="eastAsia" w:ascii="宋体" w:hAnsi="宋体" w:eastAsia="宋体"/>
          <w:sz w:val="22"/>
          <w:szCs w:val="22"/>
        </w:rPr>
        <w:t>. 建立健全本单位系统运行监测与异常处置机制，发现应用异常、接口异常、数据或消息推送异常等问题及时开展处置；发生网络安全事件、数据泄露、违规推送或其他可能影响门户稳定和师生信息安全的情形时，第一时间向信息化治理办公室报告，配合做好调查与处置。</w:t>
      </w:r>
    </w:p>
    <w:p w14:paraId="5D856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0" w:line="360" w:lineRule="auto"/>
        <w:jc w:val="both"/>
        <w:textAlignment w:val="auto"/>
      </w:pPr>
      <w:r>
        <w:rPr>
          <w:rFonts w:hint="eastAsia" w:ascii="宋体" w:hAnsi="宋体" w:eastAsia="宋体"/>
          <w:sz w:val="22"/>
          <w:szCs w:val="22"/>
          <w:lang w:val="en-US" w:eastAsia="zh-CN"/>
        </w:rPr>
        <w:t>5</w:t>
      </w:r>
      <w:r>
        <w:rPr>
          <w:rFonts w:hint="eastAsia" w:ascii="宋体" w:hAnsi="宋体" w:eastAsia="宋体"/>
          <w:sz w:val="22"/>
          <w:szCs w:val="22"/>
        </w:rPr>
        <w:t>. 积极配合学校网络安全应急响应工作，遵守并执行学校信息安全管理要求和应急预案，按要求参与应急演练；应急响应期间全力配合，协助快速定位、处置并消除影响。</w:t>
      </w:r>
    </w:p>
    <w:p w14:paraId="68ABB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0" w:line="360" w:lineRule="auto"/>
        <w:jc w:val="both"/>
        <w:textAlignment w:val="auto"/>
        <w:rPr>
          <w:rFonts w:hint="eastAsia" w:ascii="宋体" w:hAnsi="宋体" w:eastAsia="宋体"/>
          <w:sz w:val="22"/>
          <w:szCs w:val="22"/>
        </w:rPr>
      </w:pPr>
      <w:r>
        <w:rPr>
          <w:rFonts w:hint="eastAsia" w:ascii="宋体" w:hAnsi="宋体" w:eastAsia="宋体"/>
          <w:sz w:val="22"/>
          <w:szCs w:val="22"/>
          <w:lang w:val="en-US" w:eastAsia="zh-CN"/>
        </w:rPr>
        <w:t>6</w:t>
      </w:r>
      <w:r>
        <w:rPr>
          <w:rFonts w:hint="eastAsia" w:ascii="宋体" w:hAnsi="宋体" w:eastAsia="宋体"/>
          <w:sz w:val="22"/>
          <w:szCs w:val="22"/>
        </w:rPr>
        <w:t>.  因本单位报送信息不实、内容违规、推送范围不当、安全事件处置不力或未及时履行变更及应急义务所引发的后果，由本单位承担。</w:t>
      </w:r>
    </w:p>
    <w:p w14:paraId="164310AE">
      <w:pPr>
        <w:rPr>
          <w:rFonts w:hint="eastAsia" w:ascii="宋体" w:hAnsi="宋体" w:eastAsia="宋体"/>
          <w:sz w:val="22"/>
          <w:szCs w:val="22"/>
        </w:rPr>
      </w:pPr>
      <w:r>
        <w:rPr>
          <w:rFonts w:hint="eastAsia" w:ascii="宋体" w:hAnsi="宋体" w:eastAsia="宋体"/>
          <w:sz w:val="22"/>
          <w:szCs w:val="22"/>
        </w:rPr>
        <w:br w:type="page"/>
      </w:r>
    </w:p>
    <w:p w14:paraId="78BC20E6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76" w:lineRule="auto"/>
        <w:jc w:val="center"/>
        <w:textAlignment w:val="auto"/>
        <w:rPr>
          <w:rFonts w:hint="eastAsia" w:ascii="宋体" w:hAnsi="宋体" w:eastAsia="宋体"/>
          <w:sz w:val="22"/>
          <w:szCs w:val="22"/>
        </w:rPr>
      </w:pPr>
      <w:r>
        <w:rPr>
          <w:rFonts w:hint="eastAsia" w:ascii="仿宋" w:hAnsi="仿宋" w:eastAsia="仿宋"/>
          <w:sz w:val="36"/>
          <w:szCs w:val="36"/>
          <w14:ligatures w14:val="none"/>
        </w:rPr>
        <w:t>公共数据库及“随师办”门户应用接入申请表</w:t>
      </w:r>
    </w:p>
    <w:tbl>
      <w:tblPr>
        <w:tblStyle w:val="15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950"/>
        <w:gridCol w:w="2284"/>
        <w:gridCol w:w="949"/>
        <w:gridCol w:w="2912"/>
      </w:tblGrid>
      <w:tr w14:paraId="72F58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vAlign w:val="center"/>
          </w:tcPr>
          <w:p w14:paraId="5C9705FD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  <w14:ligatures w14:val="none"/>
              </w:rPr>
              <w:t>申请单位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14:ligatures w14:val="none"/>
              </w:rPr>
              <w:t>*</w:t>
            </w:r>
          </w:p>
        </w:tc>
        <w:tc>
          <w:tcPr>
            <w:tcW w:w="7095" w:type="dxa"/>
            <w:gridSpan w:val="4"/>
            <w:vAlign w:val="center"/>
          </w:tcPr>
          <w:p w14:paraId="28CD9C6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14:ligatures w14:val="none"/>
              </w:rPr>
            </w:pPr>
          </w:p>
        </w:tc>
      </w:tr>
      <w:tr w14:paraId="05D83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vMerge w:val="restart"/>
            <w:vAlign w:val="center"/>
          </w:tcPr>
          <w:p w14:paraId="3E70BD1A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经办人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950" w:type="dxa"/>
            <w:vAlign w:val="center"/>
          </w:tcPr>
          <w:p w14:paraId="06136EF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姓名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2284" w:type="dxa"/>
            <w:vAlign w:val="center"/>
          </w:tcPr>
          <w:p w14:paraId="01012377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49" w:type="dxa"/>
            <w:vAlign w:val="center"/>
          </w:tcPr>
          <w:p w14:paraId="23BA2F1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邮箱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2912" w:type="dxa"/>
            <w:vAlign w:val="center"/>
          </w:tcPr>
          <w:p w14:paraId="0C9EB07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6008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vMerge w:val="continue"/>
            <w:vAlign w:val="center"/>
          </w:tcPr>
          <w:p w14:paraId="54146AC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2E50914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工号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2284" w:type="dxa"/>
            <w:vAlign w:val="center"/>
          </w:tcPr>
          <w:p w14:paraId="63E34EB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49" w:type="dxa"/>
            <w:vAlign w:val="center"/>
          </w:tcPr>
          <w:p w14:paraId="224F226A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电话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2912" w:type="dxa"/>
            <w:vAlign w:val="center"/>
          </w:tcPr>
          <w:p w14:paraId="0746ED8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E3F2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vAlign w:val="center"/>
          </w:tcPr>
          <w:p w14:paraId="6E69D72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应用名称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7095" w:type="dxa"/>
            <w:gridSpan w:val="4"/>
            <w:vAlign w:val="center"/>
          </w:tcPr>
          <w:p w14:paraId="6D6F9F4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tLeas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499E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vAlign w:val="center"/>
          </w:tcPr>
          <w:p w14:paraId="73F9F65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应用简介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7095" w:type="dxa"/>
            <w:gridSpan w:val="4"/>
            <w:vAlign w:val="center"/>
          </w:tcPr>
          <w:p w14:paraId="0230C2AA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tLeas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F195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1976" w:type="dxa"/>
            <w:vAlign w:val="center"/>
          </w:tcPr>
          <w:p w14:paraId="26AA43BE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统一身份认证集成情况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7095" w:type="dxa"/>
            <w:gridSpan w:val="4"/>
            <w:vAlign w:val="center"/>
          </w:tcPr>
          <w:p w14:paraId="7178B45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tLeas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已集成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未集成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无需集成（信息发布类）</w:t>
            </w:r>
          </w:p>
        </w:tc>
      </w:tr>
      <w:tr w14:paraId="5E5B1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vAlign w:val="center"/>
          </w:tcPr>
          <w:p w14:paraId="1F8DB24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接入服务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（可多选）</w:t>
            </w:r>
          </w:p>
        </w:tc>
        <w:tc>
          <w:tcPr>
            <w:tcW w:w="7095" w:type="dxa"/>
            <w:gridSpan w:val="4"/>
            <w:vAlign w:val="center"/>
          </w:tcPr>
          <w:p w14:paraId="71CE7A84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tLeas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□公共数据库门户访问入口接入   □“随师办”门户访问入口接入     □公共数据库“待办中心”接入   □企业微信待办提醒接入</w:t>
            </w:r>
          </w:p>
        </w:tc>
      </w:tr>
      <w:tr w14:paraId="2EDB0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071" w:type="dxa"/>
            <w:gridSpan w:val="5"/>
            <w:shd w:val="clear" w:color="auto" w:fill="CFCECE" w:themeFill="background2" w:themeFillShade="E5"/>
            <w:vAlign w:val="center"/>
          </w:tcPr>
          <w:p w14:paraId="0AD8A28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（一）公共数据库门户访问入口接入（如勾选请填写）</w:t>
            </w:r>
          </w:p>
        </w:tc>
      </w:tr>
      <w:tr w14:paraId="573B3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vAlign w:val="center"/>
          </w:tcPr>
          <w:p w14:paraId="4D0136F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应用访问地址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（链接）</w:t>
            </w:r>
          </w:p>
        </w:tc>
        <w:tc>
          <w:tcPr>
            <w:tcW w:w="7095" w:type="dxa"/>
            <w:gridSpan w:val="4"/>
            <w:vAlign w:val="center"/>
          </w:tcPr>
          <w:p w14:paraId="164E5C6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11A8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vAlign w:val="center"/>
          </w:tcPr>
          <w:p w14:paraId="23C2F139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校外网络是否可访问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7095" w:type="dxa"/>
            <w:gridSpan w:val="4"/>
            <w:vAlign w:val="center"/>
          </w:tcPr>
          <w:p w14:paraId="036FCAEA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是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否</w:t>
            </w:r>
          </w:p>
        </w:tc>
      </w:tr>
      <w:tr w14:paraId="72150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vAlign w:val="center"/>
          </w:tcPr>
          <w:p w14:paraId="16244BC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应用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入口简称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（不超过6字）</w:t>
            </w:r>
          </w:p>
        </w:tc>
        <w:tc>
          <w:tcPr>
            <w:tcW w:w="7095" w:type="dxa"/>
            <w:gridSpan w:val="4"/>
            <w:vAlign w:val="center"/>
          </w:tcPr>
          <w:p w14:paraId="097BEBE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1A53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2BD6677A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应用可见范围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7095" w:type="dxa"/>
            <w:gridSpan w:val="4"/>
            <w:shd w:val="clear" w:color="auto" w:fill="auto"/>
            <w:vAlign w:val="top"/>
          </w:tcPr>
          <w:p w14:paraId="3904D4A6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u w:val="singl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□在编教职工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□退休人员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□本科生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□研究生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□博士后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□临时人员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□特定范围人员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（请说明：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）</w:t>
            </w:r>
          </w:p>
        </w:tc>
      </w:tr>
      <w:tr w14:paraId="56E78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5B22A26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接入版块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名称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单选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095" w:type="dxa"/>
            <w:gridSpan w:val="4"/>
            <w:shd w:val="clear" w:color="auto" w:fill="auto"/>
            <w:vAlign w:val="top"/>
          </w:tcPr>
          <w:p w14:paraId="19D632B1">
            <w:pPr>
              <w:keepNext/>
              <w:snapToGrid w:val="0"/>
              <w:spacing w:after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教职工门户：</w:t>
            </w:r>
          </w:p>
          <w:p w14:paraId="6F101368">
            <w:pPr>
              <w:keepNext/>
              <w:snapToGrid w:val="0"/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□综合办公   □本科生教育   □研究生教育   □学工管理           □人事管理   □科研管理   □外事管理   □资产财务               □工会管理   □后勤保障   □数据及IT服务</w:t>
            </w:r>
          </w:p>
          <w:p w14:paraId="7844B30E">
            <w:pPr>
              <w:keepNext/>
              <w:snapToGrid w:val="0"/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学生门户：</w:t>
            </w:r>
          </w:p>
          <w:p w14:paraId="700243E7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□学业   □事务   □生活服务   □数据及IT服务  </w:t>
            </w:r>
          </w:p>
        </w:tc>
      </w:tr>
      <w:tr w14:paraId="1DE92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0C3791B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入口拟开放时间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7095" w:type="dxa"/>
            <w:gridSpan w:val="4"/>
            <w:shd w:val="clear" w:color="auto" w:fill="auto"/>
            <w:vAlign w:val="top"/>
          </w:tcPr>
          <w:p w14:paraId="4ADD113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</w:p>
        </w:tc>
      </w:tr>
      <w:tr w14:paraId="059AD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071" w:type="dxa"/>
            <w:gridSpan w:val="5"/>
            <w:shd w:val="clear" w:color="auto" w:fill="auto"/>
            <w:vAlign w:val="top"/>
          </w:tcPr>
          <w:p w14:paraId="47E5F8F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说明：</w:t>
            </w:r>
          </w:p>
          <w:p w14:paraId="519663BF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应用访问地址请提供直达页面链接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。</w:t>
            </w:r>
          </w:p>
          <w:p w14:paraId="63A8CA32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eastAsia" w:ascii="仿宋" w:hAnsi="仿宋" w:eastAsia="仿宋" w:cstheme="minorBidi"/>
                <w:kern w:val="2"/>
                <w:sz w:val="26"/>
                <w:szCs w:val="26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应用可见范围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选择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特定范围人员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时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，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门户新建应用专属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角色，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申请单位负责该角色下人员的日常运维，信息办提供操作指南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。</w:t>
            </w:r>
          </w:p>
        </w:tc>
      </w:tr>
      <w:tr w14:paraId="63072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071" w:type="dxa"/>
            <w:gridSpan w:val="5"/>
            <w:shd w:val="clear" w:color="auto" w:fill="CFCECE" w:themeFill="background2" w:themeFillShade="E5"/>
            <w:vAlign w:val="center"/>
          </w:tcPr>
          <w:p w14:paraId="7C636D69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textAlignment w:val="auto"/>
              <w:rPr>
                <w:rFonts w:hint="eastAsia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val="en-US" w:eastAsia="zh-CN"/>
              </w:rPr>
              <w:t>（二）“随师办”门户访问入口接入（如勾选请填写）</w:t>
            </w:r>
          </w:p>
        </w:tc>
      </w:tr>
      <w:tr w14:paraId="0E800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shd w:val="clear" w:color="auto" w:fill="auto"/>
            <w:vAlign w:val="top"/>
          </w:tcPr>
          <w:p w14:paraId="5722720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应用访问地址</w:t>
            </w:r>
            <w:r>
              <w:rPr>
                <w:rFonts w:ascii="宋体" w:hAnsi="宋体" w:eastAsia="宋体"/>
                <w:color w:val="FF0000"/>
                <w:sz w:val="21"/>
                <w:szCs w:val="21"/>
              </w:rPr>
              <w:t>*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（链接）</w:t>
            </w:r>
          </w:p>
        </w:tc>
        <w:tc>
          <w:tcPr>
            <w:tcW w:w="7095" w:type="dxa"/>
            <w:gridSpan w:val="4"/>
            <w:shd w:val="clear" w:color="auto" w:fill="auto"/>
            <w:vAlign w:val="top"/>
          </w:tcPr>
          <w:p w14:paraId="75D2A586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theme="minorBidi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</w:p>
        </w:tc>
      </w:tr>
      <w:tr w14:paraId="2B82F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vAlign w:val="center"/>
          </w:tcPr>
          <w:p w14:paraId="6CF6526A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应用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入口简称</w:t>
            </w:r>
            <w:r>
              <w:rPr>
                <w:rFonts w:ascii="宋体" w:hAnsi="宋体" w:eastAsia="宋体"/>
                <w:color w:val="FF0000"/>
                <w:sz w:val="21"/>
                <w:szCs w:val="21"/>
              </w:rPr>
              <w:t>*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（不超过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字）</w:t>
            </w:r>
          </w:p>
        </w:tc>
        <w:tc>
          <w:tcPr>
            <w:tcW w:w="7095" w:type="dxa"/>
            <w:gridSpan w:val="4"/>
            <w:vAlign w:val="center"/>
          </w:tcPr>
          <w:p w14:paraId="3587884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06ED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tblHeader/>
          <w:jc w:val="center"/>
        </w:trPr>
        <w:tc>
          <w:tcPr>
            <w:tcW w:w="1976" w:type="dxa"/>
            <w:vAlign w:val="center"/>
          </w:tcPr>
          <w:p w14:paraId="59B1AC4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应用可见范围</w:t>
            </w:r>
            <w:r>
              <w:rPr>
                <w:rFonts w:ascii="宋体" w:hAnsi="宋体" w:eastAsia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7095" w:type="dxa"/>
            <w:gridSpan w:val="4"/>
            <w:vAlign w:val="center"/>
          </w:tcPr>
          <w:p w14:paraId="102B191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□在编教职工   □退休人员   □本科生   □研究生   □临时人员    □特定范围人员（请说明：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）</w:t>
            </w:r>
          </w:p>
        </w:tc>
      </w:tr>
      <w:tr w14:paraId="3EBF8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1976" w:type="dxa"/>
            <w:vAlign w:val="center"/>
          </w:tcPr>
          <w:p w14:paraId="7BC440E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接入版块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名称</w:t>
            </w:r>
            <w:r>
              <w:rPr>
                <w:rFonts w:ascii="宋体" w:hAnsi="宋体" w:eastAsia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7095" w:type="dxa"/>
            <w:gridSpan w:val="4"/>
            <w:vAlign w:val="center"/>
          </w:tcPr>
          <w:p w14:paraId="5FC9EDB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教职工版随师办：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□我的收入   □我的数据   □办公协同   □工会在线   □访客服务   □教学服务   □校园服务</w:t>
            </w:r>
          </w:p>
          <w:p w14:paraId="49465B07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学生版随师办：</w:t>
            </w:r>
          </w:p>
          <w:p w14:paraId="17A66EB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□校园指南   □学业服务   □图书馆   □学生财务   □生活服务   □综合服务   □科研服务</w:t>
            </w:r>
          </w:p>
        </w:tc>
      </w:tr>
    </w:tbl>
    <w:p w14:paraId="7368FC36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exact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br w:type="page"/>
      </w:r>
    </w:p>
    <w:tbl>
      <w:tblPr>
        <w:tblStyle w:val="15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950"/>
        <w:gridCol w:w="2284"/>
        <w:gridCol w:w="949"/>
        <w:gridCol w:w="2912"/>
      </w:tblGrid>
      <w:tr w14:paraId="20549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9071" w:type="dxa"/>
            <w:gridSpan w:val="5"/>
            <w:vAlign w:val="center"/>
          </w:tcPr>
          <w:p w14:paraId="6380DDC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说明：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应用可见范围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选择“特定范围人员”时，经授权后由申请单位自行维护相关人员或标签。</w:t>
            </w:r>
          </w:p>
          <w:p w14:paraId="66EC829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2.接入版块要求：</w:t>
            </w: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各版本内部仅可单选一个接入版块；应用面向教职工或学生的，应分别在“教职工版随师办”或“学生版随师办”中勾选，同时覆盖两类用户的，应在两个版本中各勾选一项。</w:t>
            </w:r>
          </w:p>
        </w:tc>
      </w:tr>
      <w:tr w14:paraId="7618D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071" w:type="dxa"/>
            <w:gridSpan w:val="5"/>
            <w:shd w:val="clear" w:color="auto" w:fill="CFCECE" w:themeFill="background2" w:themeFillShade="E5"/>
            <w:vAlign w:val="center"/>
          </w:tcPr>
          <w:p w14:paraId="0950988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textAlignment w:val="auto"/>
              <w:rPr>
                <w:rFonts w:hint="eastAsia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val="en-US" w:eastAsia="zh-CN"/>
              </w:rPr>
              <w:t>（三）公共数据库“待办中心”接入（如勾选请填写）</w:t>
            </w:r>
          </w:p>
        </w:tc>
      </w:tr>
      <w:tr w14:paraId="42AF2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vAlign w:val="center"/>
          </w:tcPr>
          <w:p w14:paraId="6C070D0D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校外网络是否可访问</w:t>
            </w:r>
            <w:r>
              <w:rPr>
                <w:rFonts w:ascii="宋体" w:hAnsi="宋体" w:eastAsia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7095" w:type="dxa"/>
            <w:gridSpan w:val="4"/>
            <w:vAlign w:val="center"/>
          </w:tcPr>
          <w:p w14:paraId="5C80C237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是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否</w:t>
            </w:r>
          </w:p>
        </w:tc>
      </w:tr>
      <w:tr w14:paraId="5B490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6C0B122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待办入口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可见范围</w:t>
            </w:r>
            <w:r>
              <w:rPr>
                <w:rFonts w:ascii="宋体" w:hAnsi="宋体" w:eastAsia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7095" w:type="dxa"/>
            <w:gridSpan w:val="4"/>
            <w:shd w:val="clear" w:color="auto" w:fill="auto"/>
            <w:vAlign w:val="top"/>
          </w:tcPr>
          <w:p w14:paraId="50C56C0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left"/>
              <w:textAlignment w:val="auto"/>
              <w:rPr>
                <w:rFonts w:hint="default" w:ascii="仿宋" w:hAnsi="仿宋" w:eastAsia="宋体" w:cstheme="minorBidi"/>
                <w:kern w:val="2"/>
                <w:sz w:val="21"/>
                <w:szCs w:val="21"/>
                <w:u w:val="singl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□在编教职工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□退休人员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□博士后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□临时人员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□特定范围人员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（请说明：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）</w:t>
            </w:r>
          </w:p>
        </w:tc>
      </w:tr>
      <w:tr w14:paraId="59995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071" w:type="dxa"/>
            <w:gridSpan w:val="5"/>
            <w:shd w:val="clear" w:color="auto" w:fill="auto"/>
            <w:vAlign w:val="top"/>
          </w:tcPr>
          <w:p w14:paraId="7CC7F289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说明：</w:t>
            </w:r>
          </w:p>
          <w:p w14:paraId="7D3C36FF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eastAsia" w:ascii="仿宋" w:hAnsi="仿宋" w:eastAsia="仿宋" w:cstheme="minorBidi"/>
                <w:kern w:val="2"/>
                <w:sz w:val="26"/>
                <w:szCs w:val="26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待办入口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可见范围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选择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特定范围人员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时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，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门户新建专属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角色，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申请单位负责该角色下人员的日常运维，信息办提供操作指南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。</w:t>
            </w:r>
          </w:p>
        </w:tc>
      </w:tr>
      <w:tr w14:paraId="58650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071" w:type="dxa"/>
            <w:gridSpan w:val="5"/>
            <w:shd w:val="clear" w:color="auto" w:fill="CFCECE" w:themeFill="background2" w:themeFillShade="E5"/>
            <w:vAlign w:val="center"/>
          </w:tcPr>
          <w:p w14:paraId="1DEAEFD2">
            <w:pPr>
              <w:keepNext/>
              <w:keepLines w:val="0"/>
              <w:pageBreakBefore w:val="0"/>
              <w:widowControl w:val="0"/>
              <w:tabs>
                <w:tab w:val="left" w:pos="21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（四）企业微信待办提醒接入（如勾选请填写）</w:t>
            </w:r>
          </w:p>
        </w:tc>
      </w:tr>
      <w:tr w14:paraId="5AA89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6F6FF21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应用访问地址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（链接）</w:t>
            </w:r>
          </w:p>
        </w:tc>
        <w:tc>
          <w:tcPr>
            <w:tcW w:w="7095" w:type="dxa"/>
            <w:gridSpan w:val="4"/>
            <w:shd w:val="clear" w:color="auto" w:fill="auto"/>
            <w:vAlign w:val="top"/>
          </w:tcPr>
          <w:p w14:paraId="48EF6FF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u w:val="single"/>
                <w:lang w:val="en-US" w:eastAsia="zh-CN" w:bidi="ar-SA"/>
                <w14:ligatures w14:val="standardContextual"/>
              </w:rPr>
            </w:pPr>
          </w:p>
        </w:tc>
      </w:tr>
      <w:tr w14:paraId="2B1EE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00B6EB8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系统建设完成情况和当前运行状态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7095" w:type="dxa"/>
            <w:gridSpan w:val="4"/>
            <w:shd w:val="clear" w:color="auto" w:fill="auto"/>
            <w:vAlign w:val="top"/>
          </w:tcPr>
          <w:p w14:paraId="0254B456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u w:val="single"/>
                <w:lang w:val="en-US" w:eastAsia="zh-CN" w:bidi="ar-SA"/>
                <w14:ligatures w14:val="standardContextual"/>
              </w:rPr>
            </w:pPr>
          </w:p>
        </w:tc>
      </w:tr>
      <w:tr w14:paraId="2F0D2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6F7C92E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消息推送场景、触发条件及消息内容示例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7095" w:type="dxa"/>
            <w:gridSpan w:val="4"/>
            <w:shd w:val="clear" w:color="auto" w:fill="auto"/>
            <w:vAlign w:val="top"/>
          </w:tcPr>
          <w:p w14:paraId="176B91D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u w:val="singl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t>推送场景（可多选）：□待办事项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t>□业务受理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t>□审核进度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t>□办理结果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t>□到期提醒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t>□异常告警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t>□其他：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t>触发条件：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t xml:space="preserve">    消息内容示例：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  <w:lang w:val="en-US" w:eastAsia="zh-CN"/>
              </w:rPr>
              <w:t xml:space="preserve">        </w:t>
            </w:r>
          </w:p>
        </w:tc>
      </w:tr>
      <w:tr w14:paraId="7D58F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38E83E5A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预计推送频率和推送数量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7095" w:type="dxa"/>
            <w:gridSpan w:val="4"/>
            <w:shd w:val="clear" w:color="auto" w:fill="auto"/>
            <w:vAlign w:val="top"/>
          </w:tcPr>
          <w:p w14:paraId="1F4229A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left"/>
              <w:textAlignment w:val="auto"/>
              <w:rPr>
                <w:rFonts w:hint="eastAsia" w:ascii="宋体" w:hAnsi="宋体" w:eastAsia="宋体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t>□业务产生后即时推送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t>□定时汇总推送（周期：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t>）         □其他：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  <w:lang w:val="en-US" w:eastAsia="zh-CN"/>
              </w:rPr>
              <w:t xml:space="preserve">        </w:t>
            </w:r>
          </w:p>
          <w:p w14:paraId="4F4A73C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u w:val="singl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t>预计日均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t>条，峰值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t>条/日。</w:t>
            </w:r>
          </w:p>
        </w:tc>
      </w:tr>
      <w:tr w14:paraId="4BE12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17E78ABD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推送对象及预计覆盖范围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7095" w:type="dxa"/>
            <w:gridSpan w:val="4"/>
            <w:shd w:val="clear" w:color="auto" w:fill="auto"/>
            <w:vAlign w:val="center"/>
          </w:tcPr>
          <w:p w14:paraId="4B34455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u w:val="singl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u w:val="none"/>
                <w:lang w:val="en-US" w:eastAsia="zh-CN" w:bidi="ar-SA"/>
                <w14:ligatures w14:val="standardContextual"/>
              </w:rPr>
              <w:t>教职工</w:t>
            </w:r>
            <w:r>
              <w:rPr>
                <w:rFonts w:hint="eastAsia" w:ascii="宋体" w:hAnsi="宋体" w:eastAsia="宋体"/>
                <w:sz w:val="21"/>
                <w:szCs w:val="21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u w:val="none"/>
                <w:lang w:val="en-US" w:eastAsia="zh-CN" w:bidi="ar-SA"/>
                <w14:ligatures w14:val="standardContextual"/>
              </w:rPr>
              <w:t>□学生</w:t>
            </w:r>
            <w:r>
              <w:rPr>
                <w:rFonts w:hint="eastAsia" w:ascii="宋体" w:hAnsi="宋体" w:eastAsia="宋体"/>
                <w:sz w:val="21"/>
                <w:szCs w:val="21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u w:val="none"/>
                <w:lang w:val="en-US" w:eastAsia="zh-CN" w:bidi="ar-SA"/>
                <w14:ligatures w14:val="standardContextual"/>
              </w:rPr>
              <w:t>□临时人员</w:t>
            </w:r>
          </w:p>
        </w:tc>
      </w:tr>
      <w:tr w14:paraId="2E6B9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6743AE8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系统域名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7095" w:type="dxa"/>
            <w:gridSpan w:val="4"/>
            <w:shd w:val="clear" w:color="auto" w:fill="auto"/>
            <w:vAlign w:val="top"/>
          </w:tcPr>
          <w:p w14:paraId="3A64451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u w:val="single"/>
                <w:lang w:val="en-US" w:eastAsia="zh-CN" w:bidi="ar-SA"/>
                <w14:ligatures w14:val="standardContextual"/>
              </w:rPr>
            </w:pPr>
          </w:p>
        </w:tc>
      </w:tr>
      <w:tr w14:paraId="070BF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158EF9F9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联调测试账号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7095" w:type="dxa"/>
            <w:gridSpan w:val="4"/>
            <w:shd w:val="clear" w:color="auto" w:fill="auto"/>
            <w:vAlign w:val="top"/>
          </w:tcPr>
          <w:p w14:paraId="08D3979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u w:val="single"/>
                <w:lang w:val="en-US" w:eastAsia="zh-CN" w:bidi="ar-SA"/>
                <w14:ligatures w14:val="standardContextual"/>
              </w:rPr>
            </w:pPr>
          </w:p>
        </w:tc>
      </w:tr>
      <w:tr w14:paraId="066FC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vMerge w:val="restart"/>
            <w:vAlign w:val="center"/>
          </w:tcPr>
          <w:p w14:paraId="12D3D78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业务负责人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950" w:type="dxa"/>
            <w:vAlign w:val="center"/>
          </w:tcPr>
          <w:p w14:paraId="4D295A46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姓名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2284" w:type="dxa"/>
            <w:vAlign w:val="center"/>
          </w:tcPr>
          <w:p w14:paraId="718988C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49" w:type="dxa"/>
            <w:vAlign w:val="center"/>
          </w:tcPr>
          <w:p w14:paraId="09E32F8E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邮箱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2912" w:type="dxa"/>
            <w:vAlign w:val="center"/>
          </w:tcPr>
          <w:p w14:paraId="6A3D92C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C2F9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vMerge w:val="continue"/>
            <w:vAlign w:val="center"/>
          </w:tcPr>
          <w:p w14:paraId="2931F54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17F274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工号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2284" w:type="dxa"/>
            <w:vAlign w:val="center"/>
          </w:tcPr>
          <w:p w14:paraId="2C684504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49" w:type="dxa"/>
            <w:vAlign w:val="center"/>
          </w:tcPr>
          <w:p w14:paraId="6494D3F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电话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2912" w:type="dxa"/>
            <w:vAlign w:val="center"/>
          </w:tcPr>
          <w:p w14:paraId="2E1B0B5E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DC1D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vMerge w:val="restart"/>
            <w:vAlign w:val="center"/>
          </w:tcPr>
          <w:p w14:paraId="29F9F07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技术负责人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950" w:type="dxa"/>
            <w:vAlign w:val="center"/>
          </w:tcPr>
          <w:p w14:paraId="29D5632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姓名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2284" w:type="dxa"/>
            <w:vAlign w:val="center"/>
          </w:tcPr>
          <w:p w14:paraId="223EA34D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49" w:type="dxa"/>
            <w:vAlign w:val="center"/>
          </w:tcPr>
          <w:p w14:paraId="11FC107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邮箱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2912" w:type="dxa"/>
            <w:vAlign w:val="center"/>
          </w:tcPr>
          <w:p w14:paraId="7735462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05EE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vMerge w:val="continue"/>
            <w:vAlign w:val="center"/>
          </w:tcPr>
          <w:p w14:paraId="2C319CE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D86AD2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工号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2284" w:type="dxa"/>
            <w:vAlign w:val="center"/>
          </w:tcPr>
          <w:p w14:paraId="0C8FD5E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49" w:type="dxa"/>
            <w:vAlign w:val="center"/>
          </w:tcPr>
          <w:p w14:paraId="5BD40BFE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电话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2912" w:type="dxa"/>
            <w:vAlign w:val="center"/>
          </w:tcPr>
          <w:p w14:paraId="1785830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A00A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6" w:type="dxa"/>
            <w:vAlign w:val="center"/>
          </w:tcPr>
          <w:p w14:paraId="3174CCF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开发单位联系人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950" w:type="dxa"/>
            <w:vAlign w:val="center"/>
          </w:tcPr>
          <w:p w14:paraId="2464C10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姓名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2284" w:type="dxa"/>
            <w:vAlign w:val="center"/>
          </w:tcPr>
          <w:p w14:paraId="63F1FC1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49" w:type="dxa"/>
            <w:vAlign w:val="center"/>
          </w:tcPr>
          <w:p w14:paraId="26F8F73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电话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*</w:t>
            </w:r>
          </w:p>
        </w:tc>
        <w:tc>
          <w:tcPr>
            <w:tcW w:w="2912" w:type="dxa"/>
            <w:vAlign w:val="center"/>
          </w:tcPr>
          <w:p w14:paraId="368675A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BF35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9071" w:type="dxa"/>
            <w:gridSpan w:val="5"/>
            <w:vAlign w:val="center"/>
          </w:tcPr>
          <w:p w14:paraId="1A5AD15E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说明：</w:t>
            </w:r>
          </w:p>
          <w:p w14:paraId="7869EAD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1.消息示例中应说明系统在什么业务环节触发消息、向哪些用户发送，以及消息是否包含业务办理链接。</w:t>
            </w:r>
          </w:p>
          <w:p w14:paraId="5615871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2.联调测试账号应认证过企业微信。</w:t>
            </w:r>
          </w:p>
        </w:tc>
      </w:tr>
    </w:tbl>
    <w:p w14:paraId="0E9FFBB7">
      <w:pPr>
        <w:spacing w:after="80"/>
        <w:rPr>
          <w:rFonts w:ascii="黑体" w:hAnsi="黑体" w:eastAsia="黑体"/>
          <w:b/>
        </w:rPr>
      </w:pPr>
    </w:p>
    <w:sectPr>
      <w:pgSz w:w="11907" w:h="16839"/>
      <w:pgMar w:top="1000" w:right="1200" w:bottom="1000" w:left="12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07"/>
    <w:rsid w:val="003B686D"/>
    <w:rsid w:val="00407307"/>
    <w:rsid w:val="013B2C9C"/>
    <w:rsid w:val="04BF554B"/>
    <w:rsid w:val="08BF40AC"/>
    <w:rsid w:val="0ABB4D47"/>
    <w:rsid w:val="123F06F5"/>
    <w:rsid w:val="14D07641"/>
    <w:rsid w:val="187F30A3"/>
    <w:rsid w:val="1BCF4AF0"/>
    <w:rsid w:val="26A7180E"/>
    <w:rsid w:val="2A9D6E20"/>
    <w:rsid w:val="2EEA2591"/>
    <w:rsid w:val="3C7324DC"/>
    <w:rsid w:val="3F757858"/>
    <w:rsid w:val="497C50C6"/>
    <w:rsid w:val="581138FA"/>
    <w:rsid w:val="5D676D8B"/>
    <w:rsid w:val="5D896993"/>
    <w:rsid w:val="603E07AE"/>
    <w:rsid w:val="61685DEF"/>
    <w:rsid w:val="6E1D45CF"/>
    <w:rsid w:val="72B80E7E"/>
    <w:rsid w:val="75B570E6"/>
    <w:rsid w:val="7C4D1A74"/>
    <w:rsid w:val="7E8B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semiHidden/>
    <w:unhideWhenUsed/>
    <w:qFormat/>
    <w:uiPriority w:val="99"/>
    <w:rPr>
      <w:sz w:val="24"/>
    </w:rPr>
  </w:style>
  <w:style w:type="paragraph" w:styleId="13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5">
    <w:name w:val="Table Grid"/>
    <w:basedOn w:val="1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1925</Words>
  <Characters>1959</Characters>
  <Lines>8</Lines>
  <Paragraphs>2</Paragraphs>
  <TotalTime>0</TotalTime>
  <ScaleCrop>false</ScaleCrop>
  <LinksUpToDate>false</LinksUpToDate>
  <CharactersWithSpaces>2322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2026-08-06T16:06:00Z</dcterms:created>
  <dc:creator>lirong chen</dc:creator>
  <cp:lastModifiedBy>陈丽荣</cp:lastModifiedBy>
  <dcterms:modified xsi:type="dcterms:W3CDTF">2026-08-19T03:52:37Z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eyJoZGlkIjoiMDM0YjYyNDI2ODZhMDRlMDEyYjMzYmM5MzI3OTUxY2QiLCJ1c2VySWQiOiIxNDc3NDM3NzMyIn0=</vt:lpwstr>
  </property>
  <property fmtid="{D5CDD505-2E9C-101B-9397-08002B2CF9AE}" pid="3" name="KSOProductBuildVer">
    <vt:lpwstr>2052-12.1.0.28043</vt:lpwstr>
  </property>
  <property fmtid="{D5CDD505-2E9C-101B-9397-08002B2CF9AE}" pid="4" name="ICV">
    <vt:lpwstr>AD39603B12D444F69BB3B548DAD15C49_13</vt:lpwstr>
  </property>
</Properties>
</file>